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6854BF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ĐƠN HÀNG</w:t>
      </w:r>
      <w:r w:rsidR="00772BC4">
        <w:rPr>
          <w:rFonts w:ascii="Tahoma" w:hAnsi="Tahoma" w:cs="Tahoma"/>
          <w:b/>
          <w:color w:val="E36C0A" w:themeColor="accent6" w:themeShade="BF"/>
          <w:sz w:val="32"/>
        </w:rPr>
        <w:t xml:space="preserve"> (SO)</w:t>
      </w:r>
      <w:r w:rsidR="006F4577" w:rsidRPr="006F4577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4B7544">
        <w:rPr>
          <w:rFonts w:ascii="Tahoma" w:hAnsi="Tahoma" w:cs="Tahoma"/>
        </w:rPr>
        <w:t>Lập và quản lý các</w:t>
      </w:r>
      <w:r w:rsidR="006854BF">
        <w:rPr>
          <w:rFonts w:ascii="Tahoma" w:hAnsi="Tahoma" w:cs="Tahoma"/>
        </w:rPr>
        <w:t xml:space="preserve"> Đơn hàng khách đã đặt</w:t>
      </w:r>
      <w:r w:rsidR="009D510F" w:rsidRPr="0020447C">
        <w:rPr>
          <w:rFonts w:ascii="Tahoma" w:hAnsi="Tahoma" w:cs="Tahoma"/>
        </w:rPr>
        <w:t>.</w:t>
      </w:r>
      <w:r w:rsidR="006854BF">
        <w:rPr>
          <w:rFonts w:ascii="Tahoma" w:hAnsi="Tahoma" w:cs="Tahoma"/>
        </w:rPr>
        <w:t xml:space="preserve"> Đơn hàng chia làm 3 loại:</w:t>
      </w:r>
    </w:p>
    <w:p w:rsidR="006854BF" w:rsidRDefault="006854BF" w:rsidP="006854B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Đơn hàng thương mại: Bán sản phẩm tồn kho.</w:t>
      </w:r>
    </w:p>
    <w:p w:rsidR="006854BF" w:rsidRDefault="006854BF" w:rsidP="006854B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Đơn hàng sản xuất khách đặt: Sản phẩm sản xuất theo yêu cầu của khách đặt hoặc hàng không còn tồn kho, cần sản xuất trước khi giao hàng.</w:t>
      </w:r>
    </w:p>
    <w:p w:rsidR="006854BF" w:rsidRPr="0020447C" w:rsidRDefault="006854BF" w:rsidP="006854B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Đơn hàng sản xuất tồn kho: Đơn hàng chính là kế hoạch kinh doanh. Cung cấp số lượng cần bán để nhà máy lên kế hoạch sản xuất.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5E3331" w:rsidRDefault="00772BC4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772BC4">
        <w:rPr>
          <w:rFonts w:ascii="Tahoma" w:hAnsi="Tahoma" w:cs="Tahoma"/>
          <w:b/>
        </w:rPr>
        <w:t>Đối tượng:</w:t>
      </w:r>
      <w:r>
        <w:rPr>
          <w:rFonts w:ascii="Tahoma" w:hAnsi="Tahoma" w:cs="Tahoma"/>
        </w:rPr>
        <w:t xml:space="preserve"> Cho phép đối tượng giao dịch ký đơn hàng và đối tượng xuất hóa đơn là khác nhau.</w:t>
      </w:r>
    </w:p>
    <w:p w:rsidR="00772BC4" w:rsidRDefault="00772BC4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Thừa hưởng dữ liệu:</w:t>
      </w:r>
      <w:r>
        <w:rPr>
          <w:rFonts w:ascii="Tahoma" w:hAnsi="Tahoma" w:cs="Tahoma"/>
        </w:rPr>
        <w:t xml:space="preserve"> Có thể tạo Đơn hàng từ Phiế</w:t>
      </w:r>
      <w:r w:rsidR="00994EB1">
        <w:rPr>
          <w:rFonts w:ascii="Tahoma" w:hAnsi="Tahoma" w:cs="Tahoma"/>
        </w:rPr>
        <w:t>u báo giá hoặc nhận từ excel (Excel nhập theo mẫu của phần mềm quy định trước.)</w:t>
      </w:r>
    </w:p>
    <w:p w:rsidR="005A2255" w:rsidRDefault="005A2255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Loại đơn hàng:</w:t>
      </w:r>
      <w:r>
        <w:rPr>
          <w:rFonts w:ascii="Tahoma" w:hAnsi="Tahoma" w:cs="Tahoma"/>
        </w:rPr>
        <w:t xml:space="preserve"> Phải chọn đúng. </w:t>
      </w:r>
    </w:p>
    <w:p w:rsidR="005A2255" w:rsidRDefault="005A2255" w:rsidP="005A2255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5A2255">
        <w:rPr>
          <w:rFonts w:ascii="Tahoma" w:hAnsi="Tahoma" w:cs="Tahoma"/>
          <w:b/>
          <w:i/>
          <w:u w:val="single"/>
        </w:rPr>
        <w:t>Đơn hàng thương mại</w:t>
      </w:r>
      <w:r>
        <w:rPr>
          <w:rFonts w:ascii="Tahoma" w:hAnsi="Tahoma" w:cs="Tahoma"/>
        </w:rPr>
        <w:t>: Cho phép theo dõi quá trình giao hàng, không cho phép chạy quy trình sản xuất.</w:t>
      </w:r>
    </w:p>
    <w:p w:rsidR="005A2255" w:rsidRDefault="005A2255" w:rsidP="005A2255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5A2255">
        <w:rPr>
          <w:rFonts w:ascii="Tahoma" w:hAnsi="Tahoma" w:cs="Tahoma"/>
          <w:b/>
          <w:i/>
          <w:u w:val="single"/>
        </w:rPr>
        <w:t>Đơn hàng khách đặt</w:t>
      </w:r>
      <w:r>
        <w:rPr>
          <w:rFonts w:ascii="Tahoma" w:hAnsi="Tahoma" w:cs="Tahoma"/>
        </w:rPr>
        <w:t xml:space="preserve">: Sử dụng quy trình đầy đủ: Sản xuất, mua hàng, giao hàng </w:t>
      </w:r>
      <w:r w:rsidRPr="005A2255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Đơn hàng đóng khi hoàn thành giao hàng.</w:t>
      </w:r>
    </w:p>
    <w:p w:rsidR="005A2255" w:rsidRDefault="005A2255" w:rsidP="005A2255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5A2255">
        <w:rPr>
          <w:rFonts w:ascii="Tahoma" w:hAnsi="Tahoma" w:cs="Tahoma"/>
          <w:b/>
          <w:i/>
          <w:u w:val="single"/>
        </w:rPr>
        <w:t>Đơn hàng tồn kho</w:t>
      </w:r>
      <w:r>
        <w:rPr>
          <w:rFonts w:ascii="Tahoma" w:hAnsi="Tahoma" w:cs="Tahoma"/>
        </w:rPr>
        <w:t xml:space="preserve">: Không cho phép giao hàng </w:t>
      </w:r>
      <w:r w:rsidRPr="005A2255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Sản xuất xong là đóng đơn hàng.</w:t>
      </w:r>
    </w:p>
    <w:p w:rsidR="003F18B0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1F58A8">
        <w:rPr>
          <w:rFonts w:ascii="Tahoma" w:hAnsi="Tahoma" w:cs="Tahoma"/>
          <w:b/>
        </w:rPr>
        <w:t>Nút tiện ích</w:t>
      </w:r>
      <w:r>
        <w:rPr>
          <w:rFonts w:ascii="Tahoma" w:hAnsi="Tahoma" w:cs="Tahoma"/>
        </w:rPr>
        <w:t>:</w:t>
      </w:r>
    </w:p>
    <w:p w:rsidR="001F58A8" w:rsidRDefault="00EE300D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C70732">
        <w:rPr>
          <w:rFonts w:ascii="Tahoma" w:hAnsi="Tahoma" w:cs="Tahoma"/>
          <w:b/>
          <w:u w:val="single"/>
        </w:rPr>
        <w:t>Kiểm tra tồn kho</w:t>
      </w:r>
      <w:r>
        <w:rPr>
          <w:rFonts w:ascii="Tahoma" w:hAnsi="Tahoma" w:cs="Tahoma"/>
        </w:rPr>
        <w:t>: In kiểm tra số dư tức thời của những mã hàng được nhập trong phiếu.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Số dư công nợ</w:t>
      </w:r>
      <w:r w:rsidR="00EE300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Kiểm tra nhanh số dư công nợ phải </w:t>
      </w:r>
      <w:r w:rsidR="00C75DB4">
        <w:rPr>
          <w:rFonts w:ascii="Tahoma" w:hAnsi="Tahoma" w:cs="Tahoma"/>
        </w:rPr>
        <w:t>thu</w:t>
      </w:r>
      <w:r>
        <w:rPr>
          <w:rFonts w:ascii="Tahoma" w:hAnsi="Tahoma" w:cs="Tahoma"/>
        </w:rPr>
        <w:t xml:space="preserve"> của </w:t>
      </w:r>
      <w:r w:rsidR="00C75DB4">
        <w:rPr>
          <w:rFonts w:ascii="Tahoma" w:hAnsi="Tahoma" w:cs="Tahoma"/>
        </w:rPr>
        <w:t>khách hàng</w:t>
      </w:r>
      <w:r>
        <w:rPr>
          <w:rFonts w:ascii="Tahoma" w:hAnsi="Tahoma" w:cs="Tahoma"/>
        </w:rPr>
        <w:t xml:space="preserve"> đến thời điểm hiện tại</w:t>
      </w:r>
      <w:r w:rsidR="00EE300D">
        <w:rPr>
          <w:rFonts w:ascii="Tahoma" w:hAnsi="Tahoma" w:cs="Tahoma"/>
        </w:rPr>
        <w:t>.</w:t>
      </w:r>
    </w:p>
    <w:p w:rsidR="00EE300D" w:rsidRDefault="00BD7FC6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BD7FC6">
        <w:rPr>
          <w:rFonts w:ascii="Tahoma" w:hAnsi="Tahoma" w:cs="Tahoma"/>
          <w:b/>
          <w:i/>
          <w:u w:val="single"/>
        </w:rPr>
        <w:t>Cập nhật giá bán</w:t>
      </w:r>
      <w:r>
        <w:rPr>
          <w:rFonts w:ascii="Tahoma" w:hAnsi="Tahoma" w:cs="Tahoma"/>
        </w:rPr>
        <w:t>: Cập nhật đơn giá theo chính sách giá đã thiết lập.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672FC9" w:rsidRDefault="00FF6E22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Có thể tận dụng Phiếu báo giá để nhập Đơn hàng tổng (Hợp đồng ghi nhớ).</w:t>
      </w:r>
    </w:p>
    <w:p w:rsidR="00FF6E22" w:rsidRPr="00530687" w:rsidRDefault="00E00C36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Chuột phải vào số phiếu báo giá (bên phần Danh sách) để in các báo cáo liên quan.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2233F4" w:rsidRPr="002233F4" w:rsidRDefault="006F4577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2233F4" w:rsidRPr="002233F4">
          <w:rPr>
            <w:rStyle w:val="Hyperlink"/>
            <w:rFonts w:ascii="Tahoma" w:hAnsi="Tahoma" w:cs="Tahoma"/>
          </w:rPr>
          <w:t>Danh mục Đối tượng</w:t>
        </w:r>
      </w:hyperlink>
    </w:p>
    <w:p w:rsidR="00A13758" w:rsidRDefault="006F4577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6F4577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4B1B95" w:rsidRPr="00A75035" w:rsidRDefault="006F4577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9" w:history="1">
        <w:r w:rsidR="00E808CA" w:rsidRPr="00A75035">
          <w:rPr>
            <w:rStyle w:val="Hyperlink"/>
            <w:rFonts w:ascii="Tahoma" w:hAnsi="Tahoma" w:cs="Tahoma"/>
          </w:rPr>
          <w:t>Danh mục Kho</w:t>
        </w:r>
      </w:hyperlink>
      <w:r w:rsidR="004B1B95" w:rsidRPr="00A75035">
        <w:rPr>
          <w:rFonts w:ascii="Tahoma" w:hAnsi="Tahoma" w:cs="Tahoma"/>
          <w:b/>
          <w:color w:val="365F91" w:themeColor="accent1" w:themeShade="BF"/>
        </w:rPr>
        <w:br w:type="page"/>
      </w:r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A01D4A" w:rsidRDefault="00674064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943600" cy="316759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064" w:rsidRDefault="00674064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943600" cy="3167599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Default="009B4B29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Mẫu in</w:t>
      </w:r>
    </w:p>
    <w:p w:rsidR="00A01D4A" w:rsidRPr="00F86BED" w:rsidRDefault="00674064" w:rsidP="00F86BED">
      <w:pPr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5943600" cy="3691772"/>
            <wp:effectExtent l="19050" t="0" r="0" b="0"/>
            <wp:docPr id="8" name="Picture 8" descr="C:\Users\admin\AppData\Local\Temp\SNAGHTMLd934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d9343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D4A" w:rsidRPr="00F86BED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D3A88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D369F"/>
    <w:rsid w:val="000E6A1F"/>
    <w:rsid w:val="001052D9"/>
    <w:rsid w:val="00110FD7"/>
    <w:rsid w:val="00120988"/>
    <w:rsid w:val="0013290F"/>
    <w:rsid w:val="00156096"/>
    <w:rsid w:val="00181FB1"/>
    <w:rsid w:val="001E1AE9"/>
    <w:rsid w:val="001E3309"/>
    <w:rsid w:val="001E6480"/>
    <w:rsid w:val="001F34EC"/>
    <w:rsid w:val="001F58A8"/>
    <w:rsid w:val="00201E97"/>
    <w:rsid w:val="0020447C"/>
    <w:rsid w:val="002233F4"/>
    <w:rsid w:val="00226538"/>
    <w:rsid w:val="00226E82"/>
    <w:rsid w:val="00251702"/>
    <w:rsid w:val="0029327D"/>
    <w:rsid w:val="0030655E"/>
    <w:rsid w:val="00311142"/>
    <w:rsid w:val="00313658"/>
    <w:rsid w:val="00315E2D"/>
    <w:rsid w:val="00390227"/>
    <w:rsid w:val="003B571C"/>
    <w:rsid w:val="003C419F"/>
    <w:rsid w:val="003D3AC2"/>
    <w:rsid w:val="003F18B0"/>
    <w:rsid w:val="00436E7A"/>
    <w:rsid w:val="00457A27"/>
    <w:rsid w:val="00463450"/>
    <w:rsid w:val="004B1B95"/>
    <w:rsid w:val="004B4182"/>
    <w:rsid w:val="004B7544"/>
    <w:rsid w:val="00500DFD"/>
    <w:rsid w:val="0051368C"/>
    <w:rsid w:val="00530687"/>
    <w:rsid w:val="005376FC"/>
    <w:rsid w:val="005758BD"/>
    <w:rsid w:val="005775B0"/>
    <w:rsid w:val="00583395"/>
    <w:rsid w:val="005969D4"/>
    <w:rsid w:val="005A2255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3356"/>
    <w:rsid w:val="00672FC9"/>
    <w:rsid w:val="006734FE"/>
    <w:rsid w:val="00674064"/>
    <w:rsid w:val="006854BF"/>
    <w:rsid w:val="006867C2"/>
    <w:rsid w:val="00692A83"/>
    <w:rsid w:val="006B3743"/>
    <w:rsid w:val="006F02C9"/>
    <w:rsid w:val="006F4577"/>
    <w:rsid w:val="006F549E"/>
    <w:rsid w:val="00716BC8"/>
    <w:rsid w:val="007537C8"/>
    <w:rsid w:val="007601DF"/>
    <w:rsid w:val="00772BC4"/>
    <w:rsid w:val="00786E2B"/>
    <w:rsid w:val="0078716C"/>
    <w:rsid w:val="00797283"/>
    <w:rsid w:val="00797F0D"/>
    <w:rsid w:val="007D3C63"/>
    <w:rsid w:val="007F4632"/>
    <w:rsid w:val="00801F08"/>
    <w:rsid w:val="00884CFE"/>
    <w:rsid w:val="008A4B18"/>
    <w:rsid w:val="008A60BF"/>
    <w:rsid w:val="008C5C70"/>
    <w:rsid w:val="0090740C"/>
    <w:rsid w:val="009119CC"/>
    <w:rsid w:val="00930B7E"/>
    <w:rsid w:val="00965A6D"/>
    <w:rsid w:val="00994C20"/>
    <w:rsid w:val="00994EB1"/>
    <w:rsid w:val="009B4B29"/>
    <w:rsid w:val="009B4E0E"/>
    <w:rsid w:val="009C3D04"/>
    <w:rsid w:val="009C721D"/>
    <w:rsid w:val="009D2C61"/>
    <w:rsid w:val="009D510F"/>
    <w:rsid w:val="009E3ACB"/>
    <w:rsid w:val="00A01D4A"/>
    <w:rsid w:val="00A11713"/>
    <w:rsid w:val="00A11FB8"/>
    <w:rsid w:val="00A13758"/>
    <w:rsid w:val="00A13CBA"/>
    <w:rsid w:val="00A75035"/>
    <w:rsid w:val="00A750F3"/>
    <w:rsid w:val="00A8714E"/>
    <w:rsid w:val="00AD2D8F"/>
    <w:rsid w:val="00AE0B11"/>
    <w:rsid w:val="00AE2DF9"/>
    <w:rsid w:val="00B35C0B"/>
    <w:rsid w:val="00B47569"/>
    <w:rsid w:val="00B62A64"/>
    <w:rsid w:val="00B636EE"/>
    <w:rsid w:val="00BD147D"/>
    <w:rsid w:val="00BD7FC6"/>
    <w:rsid w:val="00C03E5B"/>
    <w:rsid w:val="00C201DE"/>
    <w:rsid w:val="00C33407"/>
    <w:rsid w:val="00C40B87"/>
    <w:rsid w:val="00C64EB8"/>
    <w:rsid w:val="00C70732"/>
    <w:rsid w:val="00C75DB4"/>
    <w:rsid w:val="00C85C5D"/>
    <w:rsid w:val="00C9355E"/>
    <w:rsid w:val="00CA4B20"/>
    <w:rsid w:val="00CB3C80"/>
    <w:rsid w:val="00CE4AD6"/>
    <w:rsid w:val="00D13861"/>
    <w:rsid w:val="00D31167"/>
    <w:rsid w:val="00D324D0"/>
    <w:rsid w:val="00D33F43"/>
    <w:rsid w:val="00D3779E"/>
    <w:rsid w:val="00D50DF8"/>
    <w:rsid w:val="00D53F50"/>
    <w:rsid w:val="00D54D44"/>
    <w:rsid w:val="00D8164B"/>
    <w:rsid w:val="00D874C8"/>
    <w:rsid w:val="00DE0F8E"/>
    <w:rsid w:val="00DF2AD4"/>
    <w:rsid w:val="00DF510E"/>
    <w:rsid w:val="00E00C36"/>
    <w:rsid w:val="00E13F35"/>
    <w:rsid w:val="00E5428C"/>
    <w:rsid w:val="00E808CA"/>
    <w:rsid w:val="00E90B58"/>
    <w:rsid w:val="00E9623D"/>
    <w:rsid w:val="00EB1113"/>
    <w:rsid w:val="00EC2E2C"/>
    <w:rsid w:val="00EE300D"/>
    <w:rsid w:val="00EE59EC"/>
    <w:rsid w:val="00EF3071"/>
    <w:rsid w:val="00F1582D"/>
    <w:rsid w:val="00F276D2"/>
    <w:rsid w:val="00F32D4C"/>
    <w:rsid w:val="00F61A0E"/>
    <w:rsid w:val="00F61A7A"/>
    <w:rsid w:val="00F64FD0"/>
    <w:rsid w:val="00F6599E"/>
    <w:rsid w:val="00F86BED"/>
    <w:rsid w:val="00FB7A3A"/>
    <w:rsid w:val="00FC06C2"/>
    <w:rsid w:val="00FC6471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cf/cfi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ve.junsky.vn/help/htm/cf/cfig.htm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cf/cfo.ht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ive.junsky.vn/help/htm/cf/cf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873F-E316-4C2C-AB89-576DB302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dcterms:created xsi:type="dcterms:W3CDTF">2014-06-17T03:58:00Z</dcterms:created>
  <dcterms:modified xsi:type="dcterms:W3CDTF">2014-06-27T15:24:00Z</dcterms:modified>
</cp:coreProperties>
</file>